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67" w:rsidRPr="00984F55" w:rsidRDefault="00984F55" w:rsidP="00984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55">
        <w:rPr>
          <w:rFonts w:ascii="Times New Roman" w:hAnsi="Times New Roman" w:cs="Times New Roman"/>
          <w:b/>
          <w:sz w:val="28"/>
          <w:szCs w:val="28"/>
        </w:rPr>
        <w:t>ПРОГРАММА VIII-го СЕЗОНА ШКОЛЫ ЮНОГО ИСТОРИКА</w:t>
      </w:r>
      <w:r w:rsidRPr="00984F55">
        <w:rPr>
          <w:rFonts w:ascii="Times New Roman" w:hAnsi="Times New Roman" w:cs="Times New Roman"/>
          <w:b/>
          <w:sz w:val="28"/>
          <w:szCs w:val="28"/>
        </w:rPr>
        <w:br/>
        <w:t>13.03.2021 – 24.04.2021</w:t>
      </w:r>
    </w:p>
    <w:tbl>
      <w:tblPr>
        <w:tblStyle w:val="a3"/>
        <w:tblW w:w="0" w:type="auto"/>
        <w:tblLook w:val="04A0"/>
      </w:tblPr>
      <w:tblGrid>
        <w:gridCol w:w="1476"/>
        <w:gridCol w:w="4586"/>
        <w:gridCol w:w="8441"/>
      </w:tblGrid>
      <w:tr w:rsidR="00984F55" w:rsidTr="00984F55">
        <w:tc>
          <w:tcPr>
            <w:tcW w:w="1476" w:type="dxa"/>
          </w:tcPr>
          <w:p w:rsidR="00984F55" w:rsidRPr="00984F55" w:rsidRDefault="00984F55" w:rsidP="0098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F5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86" w:type="dxa"/>
          </w:tcPr>
          <w:p w:rsidR="00984F55" w:rsidRPr="00984F55" w:rsidRDefault="00984F55" w:rsidP="0098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F55">
              <w:rPr>
                <w:rFonts w:ascii="Times New Roman" w:hAnsi="Times New Roman" w:cs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8441" w:type="dxa"/>
          </w:tcPr>
          <w:p w:rsidR="00984F55" w:rsidRPr="00984F55" w:rsidRDefault="00984F55" w:rsidP="0098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F55">
              <w:rPr>
                <w:rFonts w:ascii="Times New Roman" w:hAnsi="Times New Roman" w:cs="Times New Roman"/>
                <w:b/>
                <w:sz w:val="28"/>
                <w:szCs w:val="28"/>
              </w:rPr>
              <w:t>Тема и аннотация</w:t>
            </w:r>
          </w:p>
        </w:tc>
      </w:tr>
      <w:tr w:rsidR="00984F55" w:rsidTr="00984F55">
        <w:tc>
          <w:tcPr>
            <w:tcW w:w="1476" w:type="dxa"/>
          </w:tcPr>
          <w:p w:rsidR="00984F55" w:rsidRDefault="00984F5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13.03.2021</w:t>
            </w:r>
          </w:p>
        </w:tc>
        <w:tc>
          <w:tcPr>
            <w:tcW w:w="4586" w:type="dxa"/>
          </w:tcPr>
          <w:p w:rsidR="00984F55" w:rsidRDefault="00984F5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Алексеевич Редин, </w:t>
            </w:r>
            <w:r w:rsidRPr="00984F55">
              <w:rPr>
                <w:rFonts w:ascii="Times New Roman" w:hAnsi="Times New Roman" w:cs="Times New Roman"/>
                <w:sz w:val="28"/>
                <w:szCs w:val="28"/>
              </w:rPr>
              <w:t>д.и.н.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 кафедры истории России УрФУ</w:t>
            </w:r>
          </w:p>
        </w:tc>
        <w:tc>
          <w:tcPr>
            <w:tcW w:w="8441" w:type="dxa"/>
          </w:tcPr>
          <w:p w:rsidR="00984F55" w:rsidRDefault="00984F5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5">
              <w:rPr>
                <w:rFonts w:ascii="Times New Roman" w:hAnsi="Times New Roman" w:cs="Times New Roman"/>
                <w:sz w:val="28"/>
                <w:szCs w:val="28"/>
              </w:rPr>
              <w:t>«О чем могут рассказать канцелярские документы? На примере материалов ранней империи»</w:t>
            </w:r>
          </w:p>
          <w:p w:rsidR="00984F55" w:rsidRDefault="00984F5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55" w:rsidRPr="00984F55" w:rsidRDefault="00984F5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5">
              <w:rPr>
                <w:rFonts w:ascii="Times New Roman" w:hAnsi="Times New Roman" w:cs="Times New Roman"/>
                <w:sz w:val="28"/>
                <w:szCs w:val="28"/>
              </w:rPr>
              <w:t>Речь пойдет о самых массовых источниках: документах канцелярского делопроизводства. На первый взгляд, само их название и происхождение может показаться скучным и пригодным только для получения каких-то обобщенных статистических данных по экономике, управлению, демографии и прочим подобным вещам. На самом деле информационный потенциал таких источников неисчерпаемо богат и позволяет, в том числе, реконструировать не только историю больших процессов, но и судьбы отдельных людей, нюансы человеческих взаимоотношений, формальные и неформальные стороны межличностных коммуникаций, понять мотивации и поступки людей изучаемой эпохи, т.е. провести в полном смысле историко-антропологические исследования.</w:t>
            </w:r>
          </w:p>
          <w:p w:rsidR="00984F55" w:rsidRDefault="00984F5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5">
              <w:rPr>
                <w:rFonts w:ascii="Times New Roman" w:hAnsi="Times New Roman" w:cs="Times New Roman"/>
                <w:sz w:val="28"/>
                <w:szCs w:val="28"/>
              </w:rPr>
              <w:t>В ходе мастер-класса источниковый потенциал канцелярского делопроизводства будет раскрываться на материалах документального наследия Петровского царствования, но все сказанное в значительной мере применимо к анализу аналогичных источников других эпох.</w:t>
            </w:r>
          </w:p>
          <w:p w:rsidR="00984F55" w:rsidRPr="00984F55" w:rsidRDefault="00984F5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55" w:rsidRDefault="00984F5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5">
              <w:rPr>
                <w:rFonts w:ascii="Times New Roman" w:hAnsi="Times New Roman" w:cs="Times New Roman"/>
                <w:sz w:val="28"/>
                <w:szCs w:val="28"/>
              </w:rPr>
              <w:t xml:space="preserve">Занятие будет иметь источниковедческую направленность, но при желании его можно будет в перспективе продолжить в чисто историческом ключе, поговорив о различных аспектах строительства и функционирования ранней Российской империи, об </w:t>
            </w:r>
            <w:r w:rsidRPr="00984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управленческих практиках, мотивациях, неформальных связях в правящей среде, о коррупции, экономической и уголовной преступности и правительственных усилиях по противодействию ей, и о других, мало известных сюжетах Петровской эпохи и не только.</w:t>
            </w:r>
          </w:p>
        </w:tc>
      </w:tr>
      <w:tr w:rsidR="00984F55" w:rsidTr="00984F55">
        <w:tc>
          <w:tcPr>
            <w:tcW w:w="1476" w:type="dxa"/>
          </w:tcPr>
          <w:p w:rsidR="00984F55" w:rsidRDefault="00984F5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20.03.2021</w:t>
            </w:r>
          </w:p>
        </w:tc>
        <w:tc>
          <w:tcPr>
            <w:tcW w:w="4586" w:type="dxa"/>
          </w:tcPr>
          <w:p w:rsidR="00984F55" w:rsidRDefault="00984F5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Пётр Андреевич Сперанский, магистрант 2-го года обучения «Отечественной истории» УрФУ</w:t>
            </w:r>
          </w:p>
        </w:tc>
        <w:tc>
          <w:tcPr>
            <w:tcW w:w="8441" w:type="dxa"/>
          </w:tcPr>
          <w:p w:rsidR="00984F55" w:rsidRPr="00504BCE" w:rsidRDefault="00F42FD7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D7">
              <w:rPr>
                <w:rFonts w:ascii="Times New Roman" w:hAnsi="Times New Roman" w:cs="Times New Roman"/>
                <w:sz w:val="28"/>
                <w:szCs w:val="28"/>
              </w:rPr>
              <w:t>«Реформы в России имперского периода сквозь призму теории модернизации»</w:t>
            </w:r>
          </w:p>
          <w:p w:rsidR="00F42FD7" w:rsidRPr="00504BCE" w:rsidRDefault="00F42FD7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D7" w:rsidRPr="00F42FD7" w:rsidRDefault="00F42FD7" w:rsidP="00F4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D7">
              <w:rPr>
                <w:rFonts w:ascii="Times New Roman" w:hAnsi="Times New Roman" w:cs="Times New Roman"/>
                <w:sz w:val="28"/>
                <w:szCs w:val="28"/>
              </w:rPr>
              <w:t xml:space="preserve">В современном мире особое внимание многих исследователей привлекает изучение процессов крупномасштабных исторических изменений, составляющих наиболее значительные этапы движения истории человечества. Одним из таких всеобъемлющих исторических процессов, </w:t>
            </w:r>
            <w:proofErr w:type="gramStart"/>
            <w:r w:rsidRPr="00F42FD7">
              <w:rPr>
                <w:rFonts w:ascii="Times New Roman" w:hAnsi="Times New Roman" w:cs="Times New Roman"/>
                <w:sz w:val="28"/>
                <w:szCs w:val="28"/>
              </w:rPr>
              <w:t>последствия</w:t>
            </w:r>
            <w:proofErr w:type="gramEnd"/>
            <w:r w:rsidRPr="00F42FD7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стали неоценимо важны для развития человечества, является процесс модернизации.</w:t>
            </w:r>
          </w:p>
          <w:p w:rsidR="00F42FD7" w:rsidRPr="00F42FD7" w:rsidRDefault="00F42FD7" w:rsidP="00F4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FD7" w:rsidRPr="00F42FD7" w:rsidRDefault="00F42FD7" w:rsidP="00F4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D7">
              <w:rPr>
                <w:rFonts w:ascii="Times New Roman" w:hAnsi="Times New Roman" w:cs="Times New Roman"/>
                <w:sz w:val="28"/>
                <w:szCs w:val="28"/>
              </w:rPr>
              <w:t>На рубеже XVII–XVIII вв. российское государство оказалось на пороге модернизационных изменений, которые вовлекли в свою орбиту многие сферы жизни социума. Модернизационный переход в России растянулся на несколько столетий и в имперский период был связан с преобразованиями Петра I и Александра II, реформаторской деятельностью С. Ю. Витте и П. А. Столыпина.</w:t>
            </w:r>
          </w:p>
          <w:p w:rsidR="00F42FD7" w:rsidRPr="00F42FD7" w:rsidRDefault="00F42FD7" w:rsidP="00F4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FD7" w:rsidRPr="00F42FD7" w:rsidRDefault="00F42FD7" w:rsidP="00F4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D7">
              <w:rPr>
                <w:rFonts w:ascii="Times New Roman" w:hAnsi="Times New Roman" w:cs="Times New Roman"/>
                <w:sz w:val="28"/>
                <w:szCs w:val="28"/>
              </w:rPr>
              <w:t>В ходе лекции на примерах отечественной истории конца XVII – начала XX вв. мы познакомимся с главными положениями теории модернизации, ее основными категориями и понятиями, а также взглядами крупнейших отечественных и зарубежных ученых, относительно специфики и особенностей российского модернизационного процесса.</w:t>
            </w:r>
          </w:p>
        </w:tc>
      </w:tr>
      <w:tr w:rsidR="00984F55" w:rsidTr="00984F55">
        <w:tc>
          <w:tcPr>
            <w:tcW w:w="1476" w:type="dxa"/>
          </w:tcPr>
          <w:p w:rsidR="00984F55" w:rsidRDefault="00984F5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27.03.2021</w:t>
            </w:r>
          </w:p>
        </w:tc>
        <w:tc>
          <w:tcPr>
            <w:tcW w:w="4586" w:type="dxa"/>
          </w:tcPr>
          <w:p w:rsidR="00984F55" w:rsidRDefault="00984F5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Викторович Смирнов, д.и.н.,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профессор кафедры Новой и Новейшей истории УрФУ</w:t>
            </w:r>
          </w:p>
        </w:tc>
        <w:tc>
          <w:tcPr>
            <w:tcW w:w="8441" w:type="dxa"/>
          </w:tcPr>
          <w:p w:rsidR="00984F55" w:rsidRDefault="00984F5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«Россия в изгнании: послереволюционная русская эмиграция </w:t>
            </w:r>
            <w:r w:rsidRPr="00984F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(1917–1945): восточная ветвь»</w:t>
            </w:r>
          </w:p>
          <w:p w:rsidR="00604555" w:rsidRDefault="0060455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555" w:rsidRPr="00984F55" w:rsidRDefault="0060455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55">
              <w:rPr>
                <w:rFonts w:ascii="Times New Roman" w:hAnsi="Times New Roman" w:cs="Times New Roman"/>
                <w:sz w:val="28"/>
                <w:szCs w:val="28"/>
              </w:rPr>
              <w:t>Революция и Гражданская война в России привели к массовой миграции населения. За пределами страна оказалось более 2 млн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4555">
              <w:rPr>
                <w:rFonts w:ascii="Times New Roman" w:hAnsi="Times New Roman" w:cs="Times New Roman"/>
                <w:sz w:val="28"/>
                <w:szCs w:val="28"/>
              </w:rPr>
              <w:t xml:space="preserve"> человек, более </w:t>
            </w:r>
            <w:proofErr w:type="gramStart"/>
            <w:r w:rsidRPr="00604555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  <w:proofErr w:type="gramEnd"/>
            <w:r w:rsidRPr="00604555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нашли себе пристанище на огромных пространствах Африки и Азии: от Туниса и Египта до Китая и Японии. Что собой представляла т. н.  восточная ветвь русской эмиграции в этническом, социальном, политическом отношении; как эмигранты адаптировались к новой социально-культурной среде; что предпринимали для сохранения русской культуры; какие формы приобрела борьба эмиграции против советского режима в России — этим и другим вопросам и будет посвящено наше занятие.</w:t>
            </w:r>
          </w:p>
        </w:tc>
      </w:tr>
      <w:tr w:rsidR="00984F55" w:rsidTr="00984F55">
        <w:tc>
          <w:tcPr>
            <w:tcW w:w="1476" w:type="dxa"/>
          </w:tcPr>
          <w:p w:rsidR="00984F55" w:rsidRDefault="00984F5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03.04.2021</w:t>
            </w:r>
          </w:p>
        </w:tc>
        <w:tc>
          <w:tcPr>
            <w:tcW w:w="4586" w:type="dxa"/>
          </w:tcPr>
          <w:p w:rsidR="00984F55" w:rsidRDefault="00056EA7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 Владимирович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магистрант 2-го года обучения «Отечественной истории» УрФУ</w:t>
            </w:r>
            <w:r w:rsidR="007C0122">
              <w:rPr>
                <w:rFonts w:ascii="Times New Roman" w:hAnsi="Times New Roman" w:cs="Times New Roman"/>
                <w:sz w:val="28"/>
                <w:szCs w:val="28"/>
              </w:rPr>
              <w:t>, лаборант кафедры истории России УрФУ</w:t>
            </w:r>
          </w:p>
        </w:tc>
        <w:tc>
          <w:tcPr>
            <w:tcW w:w="8441" w:type="dxa"/>
          </w:tcPr>
          <w:p w:rsidR="00984F55" w:rsidRDefault="003A634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6345">
              <w:rPr>
                <w:rFonts w:ascii="Times New Roman" w:hAnsi="Times New Roman" w:cs="Times New Roman"/>
                <w:sz w:val="28"/>
                <w:szCs w:val="28"/>
              </w:rPr>
              <w:t xml:space="preserve">"Мечта прекрасная, еще не ясная...": советское искусство 1930-х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A6345">
              <w:rPr>
                <w:rFonts w:ascii="Times New Roman" w:hAnsi="Times New Roman" w:cs="Times New Roman"/>
                <w:sz w:val="28"/>
                <w:szCs w:val="28"/>
              </w:rPr>
              <w:t xml:space="preserve"> 1950-х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6345" w:rsidRDefault="003A634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45" w:rsidRDefault="003A634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345">
              <w:rPr>
                <w:rFonts w:ascii="Times New Roman" w:hAnsi="Times New Roman" w:cs="Times New Roman"/>
                <w:sz w:val="28"/>
                <w:szCs w:val="28"/>
              </w:rPr>
              <w:t>Участников мастер-класса ждет рассказ не просто об истории советской культуры в означенный период, но попытка прочтения этой истории через ознакомление с ее наиболее яркими произведениями (литературы, кино, живописи, архитектуры). Автор не ставит цель охватить предмет во всей его полноте, однако полагает, что повествование может показаться интересным всем, кто интересуется историей советского периода и искусства в частности.</w:t>
            </w:r>
          </w:p>
        </w:tc>
      </w:tr>
      <w:tr w:rsidR="00984F55" w:rsidTr="00984F55">
        <w:tc>
          <w:tcPr>
            <w:tcW w:w="1476" w:type="dxa"/>
          </w:tcPr>
          <w:p w:rsidR="00984F55" w:rsidRDefault="00984F5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10.04.2021</w:t>
            </w:r>
          </w:p>
        </w:tc>
        <w:tc>
          <w:tcPr>
            <w:tcW w:w="4586" w:type="dxa"/>
          </w:tcPr>
          <w:p w:rsidR="00984F55" w:rsidRDefault="00056EA7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Алёна Сергеевна Чувашева, аспирант исторического факультета УрФУ</w:t>
            </w:r>
            <w:r w:rsidR="00706E06">
              <w:rPr>
                <w:rFonts w:ascii="Times New Roman" w:hAnsi="Times New Roman" w:cs="Times New Roman"/>
                <w:sz w:val="28"/>
                <w:szCs w:val="28"/>
              </w:rPr>
              <w:t xml:space="preserve">, старший инспектор деканата департамента «Исторический факультет» УрФУ </w:t>
            </w:r>
          </w:p>
        </w:tc>
        <w:tc>
          <w:tcPr>
            <w:tcW w:w="8441" w:type="dxa"/>
          </w:tcPr>
          <w:p w:rsidR="00984F55" w:rsidRDefault="00D805A9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«Рим: построй свою любовь» </w:t>
            </w:r>
          </w:p>
          <w:p w:rsidR="00706E06" w:rsidRDefault="00706E06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06" w:rsidRDefault="00706E06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E06">
              <w:rPr>
                <w:rFonts w:ascii="Times New Roman" w:hAnsi="Times New Roman" w:cs="Times New Roman"/>
                <w:sz w:val="28"/>
                <w:szCs w:val="28"/>
              </w:rPr>
              <w:t xml:space="preserve">Древний Рим ассоциируется обычно с рационализмом и законами, изящными акведуками и монументальной архитектурой, с рабством и жестокостью античного мира. Но было ли место для любви и </w:t>
            </w:r>
            <w:r w:rsidRPr="00706E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привязанности в сердце строго римлянина? В рамках настоящего мастер-класса участникам будет предложено познакомиться со сразу несколькими взглядами на римский брак: от поэзии и законов, до современных реконструкций, для формирования у слушателей как можно более красочной картины личного мира римлян.</w:t>
            </w:r>
          </w:p>
        </w:tc>
      </w:tr>
      <w:tr w:rsidR="00984F55" w:rsidTr="00984F55">
        <w:tc>
          <w:tcPr>
            <w:tcW w:w="1476" w:type="dxa"/>
          </w:tcPr>
          <w:p w:rsidR="00984F55" w:rsidRDefault="00984F5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17.04.2021</w:t>
            </w:r>
          </w:p>
        </w:tc>
        <w:tc>
          <w:tcPr>
            <w:tcW w:w="4586" w:type="dxa"/>
          </w:tcPr>
          <w:p w:rsidR="00984F55" w:rsidRPr="00366669" w:rsidRDefault="00366669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Владимировна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.и.н.,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кафедры Новой и Новейшей истории УрФУ</w:t>
            </w:r>
          </w:p>
        </w:tc>
        <w:tc>
          <w:tcPr>
            <w:tcW w:w="8441" w:type="dxa"/>
          </w:tcPr>
          <w:p w:rsidR="00984F55" w:rsidRDefault="00366669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«Дипломаты и разведчики:  ш</w:t>
            </w:r>
            <w:r w:rsidRPr="00366669">
              <w:rPr>
                <w:rFonts w:ascii="Times New Roman" w:hAnsi="Times New Roman" w:cs="Times New Roman"/>
                <w:sz w:val="28"/>
                <w:szCs w:val="28"/>
              </w:rPr>
              <w:t>пионские скандалы в ООН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6669" w:rsidRDefault="00366669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669" w:rsidRDefault="00366669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669">
              <w:rPr>
                <w:rFonts w:ascii="Times New Roman" w:hAnsi="Times New Roman" w:cs="Times New Roman"/>
                <w:sz w:val="28"/>
                <w:szCs w:val="28"/>
              </w:rPr>
              <w:t>Организации Объединенных Наций в годы «холодной войны»  неоднократно становилась ареной для противостояния сверхдержав. СССР и США использовали различные методы борьбы, в том числе и с применением секретных служб. Работа в ООН являлась прекрасным прикрытием для работы агентов, волны «шпиономании» в США, особенно характерные для начала холодной войны, неоднократно приводили к скандалам и разбирательствам в организации. На лекции будет рассмотрена история наиболее громких «шпионских дел» и дана оценка их влияния на историю ООН и отношения сверхдержав.</w:t>
            </w:r>
          </w:p>
        </w:tc>
      </w:tr>
      <w:tr w:rsidR="00984F55" w:rsidTr="00984F55">
        <w:tc>
          <w:tcPr>
            <w:tcW w:w="1476" w:type="dxa"/>
          </w:tcPr>
          <w:p w:rsidR="00984F55" w:rsidRDefault="00984F55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24.04.2021</w:t>
            </w:r>
          </w:p>
        </w:tc>
        <w:tc>
          <w:tcPr>
            <w:tcW w:w="4586" w:type="dxa"/>
          </w:tcPr>
          <w:p w:rsidR="00984F55" w:rsidRDefault="00056EA7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Михайлович Рябов, магистрант 2-го года обучения «Отечественной истории» УрФУ</w:t>
            </w:r>
            <w:r w:rsidR="007C0122">
              <w:rPr>
                <w:rFonts w:ascii="Times New Roman" w:hAnsi="Times New Roman" w:cs="Times New Roman"/>
                <w:sz w:val="28"/>
                <w:szCs w:val="28"/>
              </w:rPr>
              <w:t xml:space="preserve">, лаборант-исследователь лаборатории </w:t>
            </w:r>
            <w:r w:rsidR="007C0122" w:rsidRPr="007C0122">
              <w:rPr>
                <w:rFonts w:ascii="Times New Roman" w:hAnsi="Times New Roman" w:cs="Times New Roman"/>
                <w:sz w:val="28"/>
                <w:szCs w:val="28"/>
              </w:rPr>
              <w:t>эдиционной археографии</w:t>
            </w:r>
            <w:r w:rsidR="007C0122">
              <w:rPr>
                <w:rFonts w:ascii="Times New Roman" w:hAnsi="Times New Roman" w:cs="Times New Roman"/>
                <w:sz w:val="28"/>
                <w:szCs w:val="28"/>
              </w:rPr>
              <w:t xml:space="preserve"> УрФУ</w:t>
            </w:r>
          </w:p>
        </w:tc>
        <w:tc>
          <w:tcPr>
            <w:tcW w:w="8441" w:type="dxa"/>
          </w:tcPr>
          <w:p w:rsidR="00504BCE" w:rsidRPr="003A6345" w:rsidRDefault="00504BCE" w:rsidP="00504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04BC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Средневековье</w:t>
            </w:r>
            <w:r w:rsidRPr="00504BCE">
              <w:rPr>
                <w:rFonts w:ascii="Times New Roman" w:hAnsi="Times New Roman" w:cs="Times New Roman"/>
                <w:sz w:val="28"/>
                <w:szCs w:val="28"/>
              </w:rPr>
              <w:t>”: о любви и насилии, видеоиграх, фильмах, литерат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уре и музыке глазами медиевиста»</w:t>
            </w:r>
          </w:p>
          <w:p w:rsidR="00504BCE" w:rsidRPr="003A6345" w:rsidRDefault="00504BCE" w:rsidP="00504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55" w:rsidRPr="00504BCE" w:rsidRDefault="00504BCE" w:rsidP="0098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BCE"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 слово «средневековый» у многих вызывает в памяти бурю образов и эмоций. Перед нами, стоит только кому-то произнести его, появляются рыцари в латных доспехах, принцессы в роскошных платьях или же, напротив, бедные люди, обмазанные грязью, вечно болеющие чумой. Когда мы читаем какой-либо политический текст (комментарий), где видим словосочетание «средневековый закон», мы сразу же понимаем, что хочет сказать автор. Что ни говори, а все мы, так или иначе, любим Средние века, и, хоть раз в жизни, но обязательно к ним апеллировали. Но, </w:t>
            </w:r>
            <w:r w:rsidRPr="00504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представляя эту эпоху в том или ином свете, не проявляем ли мы насилие к ней, не ощущаем ли мы, что Средневековье, что называется, разное, то есть представляет собой несколько «Средневековий», и что у этих «Средневековий» есть свои пределы, границы? </w:t>
            </w:r>
            <w:proofErr w:type="gramStart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 xml:space="preserve">Об этом, а также о том, как представляются Средние века в видеоиграх (к примеру, </w:t>
            </w:r>
            <w:proofErr w:type="spellStart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>Medieval</w:t>
            </w:r>
            <w:proofErr w:type="spellEnd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 xml:space="preserve"> II:</w:t>
            </w:r>
            <w:proofErr w:type="gramEnd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  <w:proofErr w:type="spellEnd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>War</w:t>
            </w:r>
            <w:proofErr w:type="spellEnd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 xml:space="preserve"> или серии </w:t>
            </w:r>
            <w:proofErr w:type="spellStart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>Mount</w:t>
            </w:r>
            <w:proofErr w:type="spellEnd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>Blade</w:t>
            </w:r>
            <w:proofErr w:type="spellEnd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 xml:space="preserve">), фильмах (к примеру, </w:t>
            </w:r>
            <w:proofErr w:type="spellStart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>Game</w:t>
            </w:r>
            <w:proofErr w:type="spellEnd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>Thrones</w:t>
            </w:r>
            <w:proofErr w:type="spellEnd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 xml:space="preserve"> или «Викинг»), литературе (к примеру, «Айвенго» Вальтера Скотта или «Имя Розы» Умберто</w:t>
            </w:r>
            <w:proofErr w:type="gramStart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>ко) и музыке (от «</w:t>
            </w:r>
            <w:proofErr w:type="spellStart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>It's</w:t>
            </w:r>
            <w:proofErr w:type="spellEnd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  <w:proofErr w:type="spellEnd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>Shop</w:t>
            </w:r>
            <w:proofErr w:type="spellEnd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>Boys</w:t>
            </w:r>
            <w:proofErr w:type="spellEnd"/>
            <w:r w:rsidRPr="00504BCE">
              <w:rPr>
                <w:rFonts w:ascii="Times New Roman" w:hAnsi="Times New Roman" w:cs="Times New Roman"/>
                <w:sz w:val="28"/>
                <w:szCs w:val="28"/>
              </w:rPr>
              <w:t xml:space="preserve"> до «Заколдованных снов» Луны) можно будет услышать и пообщаться в рамках данной встречи.</w:t>
            </w:r>
          </w:p>
        </w:tc>
      </w:tr>
    </w:tbl>
    <w:p w:rsidR="00984F55" w:rsidRPr="00984F55" w:rsidRDefault="00984F55" w:rsidP="00984F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4F55" w:rsidRPr="00984F55" w:rsidSect="00984F5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F55"/>
    <w:rsid w:val="0005632D"/>
    <w:rsid w:val="00056EA7"/>
    <w:rsid w:val="00201425"/>
    <w:rsid w:val="00216437"/>
    <w:rsid w:val="002F2B30"/>
    <w:rsid w:val="00366669"/>
    <w:rsid w:val="003A6345"/>
    <w:rsid w:val="004B2618"/>
    <w:rsid w:val="00504BCE"/>
    <w:rsid w:val="00604555"/>
    <w:rsid w:val="00706E06"/>
    <w:rsid w:val="007C0122"/>
    <w:rsid w:val="008B71C9"/>
    <w:rsid w:val="00984F55"/>
    <w:rsid w:val="00A502AD"/>
    <w:rsid w:val="00BA7D9E"/>
    <w:rsid w:val="00C334CA"/>
    <w:rsid w:val="00D805A9"/>
    <w:rsid w:val="00E03B79"/>
    <w:rsid w:val="00F42FD7"/>
    <w:rsid w:val="00F7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65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70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6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293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5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2021-02-24T15:00:00Z</dcterms:created>
  <dcterms:modified xsi:type="dcterms:W3CDTF">2021-03-06T19:55:00Z</dcterms:modified>
</cp:coreProperties>
</file>